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6355" w:rsidRPr="007A6355" w:rsidRDefault="007A6355" w:rsidP="007A6355">
      <w:pPr>
        <w:spacing w:line="480" w:lineRule="auto"/>
        <w:rPr>
          <w:rFonts w:ascii="Times New Roman" w:hAnsi="Times New Roman" w:cs="Times New Roman"/>
          <w:sz w:val="24"/>
          <w:szCs w:val="24"/>
        </w:rPr>
      </w:pPr>
    </w:p>
    <w:p w:rsidR="007A6355" w:rsidRPr="007A6355" w:rsidRDefault="007A6355" w:rsidP="007A6355">
      <w:pPr>
        <w:spacing w:line="480" w:lineRule="auto"/>
        <w:rPr>
          <w:rFonts w:ascii="Times New Roman" w:hAnsi="Times New Roman" w:cs="Times New Roman"/>
          <w:sz w:val="24"/>
          <w:szCs w:val="24"/>
        </w:rPr>
      </w:pPr>
      <w:bookmarkStart w:id="0" w:name="_GoBack"/>
      <w:bookmarkEnd w:id="0"/>
    </w:p>
    <w:p w:rsidR="007A6355" w:rsidRPr="007A6355" w:rsidRDefault="007A6355" w:rsidP="007A6355">
      <w:pPr>
        <w:spacing w:line="480" w:lineRule="auto"/>
        <w:rPr>
          <w:rFonts w:ascii="Times New Roman" w:hAnsi="Times New Roman" w:cs="Times New Roman"/>
          <w:sz w:val="24"/>
          <w:szCs w:val="24"/>
        </w:rPr>
      </w:pPr>
    </w:p>
    <w:p w:rsidR="007A6355" w:rsidRPr="007A6355" w:rsidRDefault="007A6355" w:rsidP="007A6355">
      <w:pPr>
        <w:spacing w:line="480" w:lineRule="auto"/>
        <w:rPr>
          <w:rFonts w:ascii="Times New Roman" w:hAnsi="Times New Roman" w:cs="Times New Roman"/>
          <w:sz w:val="24"/>
          <w:szCs w:val="24"/>
        </w:rPr>
      </w:pPr>
    </w:p>
    <w:p w:rsidR="007A6355" w:rsidRPr="007A6355" w:rsidRDefault="007A6355" w:rsidP="007A6355">
      <w:pPr>
        <w:spacing w:line="480" w:lineRule="auto"/>
        <w:rPr>
          <w:rFonts w:ascii="Times New Roman" w:hAnsi="Times New Roman" w:cs="Times New Roman"/>
          <w:sz w:val="24"/>
          <w:szCs w:val="24"/>
        </w:rPr>
      </w:pPr>
    </w:p>
    <w:p w:rsidR="007A6355" w:rsidRPr="007A6355" w:rsidRDefault="007A6355" w:rsidP="007A6355">
      <w:pPr>
        <w:spacing w:line="480" w:lineRule="auto"/>
        <w:rPr>
          <w:rFonts w:ascii="Times New Roman" w:hAnsi="Times New Roman" w:cs="Times New Roman"/>
          <w:sz w:val="24"/>
          <w:szCs w:val="24"/>
        </w:rPr>
      </w:pPr>
    </w:p>
    <w:p w:rsidR="007A6355" w:rsidRPr="007A6355" w:rsidRDefault="007A6355" w:rsidP="007A6355">
      <w:pPr>
        <w:spacing w:line="480" w:lineRule="auto"/>
        <w:jc w:val="center"/>
        <w:rPr>
          <w:rFonts w:ascii="Times New Roman" w:hAnsi="Times New Roman" w:cs="Times New Roman"/>
          <w:sz w:val="24"/>
          <w:szCs w:val="24"/>
        </w:rPr>
      </w:pPr>
    </w:p>
    <w:p w:rsidR="007A6355" w:rsidRPr="007A6355" w:rsidRDefault="007A6355" w:rsidP="007A6355">
      <w:pPr>
        <w:spacing w:line="480" w:lineRule="auto"/>
        <w:jc w:val="center"/>
        <w:rPr>
          <w:rFonts w:ascii="Times New Roman" w:hAnsi="Times New Roman" w:cs="Times New Roman"/>
          <w:sz w:val="24"/>
          <w:szCs w:val="24"/>
        </w:rPr>
      </w:pPr>
      <w:r w:rsidRPr="007A6355">
        <w:rPr>
          <w:rFonts w:ascii="Times New Roman" w:hAnsi="Times New Roman" w:cs="Times New Roman"/>
          <w:sz w:val="24"/>
          <w:szCs w:val="24"/>
        </w:rPr>
        <w:t>Constitution</w:t>
      </w:r>
      <w:r w:rsidR="00DE2F90">
        <w:rPr>
          <w:rFonts w:ascii="Times New Roman" w:hAnsi="Times New Roman" w:cs="Times New Roman"/>
          <w:sz w:val="24"/>
          <w:szCs w:val="24"/>
        </w:rPr>
        <w:t>al</w:t>
      </w:r>
      <w:r w:rsidRPr="007A6355">
        <w:rPr>
          <w:rFonts w:ascii="Times New Roman" w:hAnsi="Times New Roman" w:cs="Times New Roman"/>
          <w:sz w:val="24"/>
          <w:szCs w:val="24"/>
        </w:rPr>
        <w:t xml:space="preserve"> Law.</w:t>
      </w:r>
    </w:p>
    <w:p w:rsidR="007A6355" w:rsidRPr="007A6355" w:rsidRDefault="007A6355" w:rsidP="007A6355">
      <w:pPr>
        <w:spacing w:line="480" w:lineRule="auto"/>
        <w:jc w:val="center"/>
        <w:rPr>
          <w:rFonts w:ascii="Times New Roman" w:hAnsi="Times New Roman" w:cs="Times New Roman"/>
          <w:sz w:val="24"/>
          <w:szCs w:val="24"/>
        </w:rPr>
      </w:pPr>
      <w:r w:rsidRPr="007A6355">
        <w:rPr>
          <w:rFonts w:ascii="Times New Roman" w:hAnsi="Times New Roman" w:cs="Times New Roman"/>
          <w:sz w:val="24"/>
          <w:szCs w:val="24"/>
        </w:rPr>
        <w:t>Name.</w:t>
      </w:r>
    </w:p>
    <w:p w:rsidR="007A6355" w:rsidRPr="007A6355" w:rsidRDefault="007A6355" w:rsidP="007A6355">
      <w:pPr>
        <w:spacing w:line="480" w:lineRule="auto"/>
        <w:jc w:val="center"/>
        <w:rPr>
          <w:rFonts w:ascii="Times New Roman" w:hAnsi="Times New Roman" w:cs="Times New Roman"/>
          <w:sz w:val="24"/>
          <w:szCs w:val="24"/>
        </w:rPr>
      </w:pPr>
      <w:r w:rsidRPr="007A6355">
        <w:rPr>
          <w:rFonts w:ascii="Times New Roman" w:hAnsi="Times New Roman" w:cs="Times New Roman"/>
          <w:sz w:val="24"/>
          <w:szCs w:val="24"/>
        </w:rPr>
        <w:t>Institution.</w:t>
      </w:r>
    </w:p>
    <w:p w:rsidR="007A6355" w:rsidRPr="007A6355" w:rsidRDefault="007A6355" w:rsidP="007A6355">
      <w:pPr>
        <w:spacing w:line="480" w:lineRule="auto"/>
        <w:jc w:val="center"/>
        <w:rPr>
          <w:rFonts w:ascii="Times New Roman" w:hAnsi="Times New Roman" w:cs="Times New Roman"/>
          <w:sz w:val="24"/>
          <w:szCs w:val="24"/>
        </w:rPr>
      </w:pPr>
      <w:r w:rsidRPr="007A6355">
        <w:rPr>
          <w:rFonts w:ascii="Times New Roman" w:hAnsi="Times New Roman" w:cs="Times New Roman"/>
          <w:sz w:val="24"/>
          <w:szCs w:val="24"/>
        </w:rPr>
        <w:t>Date.</w:t>
      </w:r>
    </w:p>
    <w:p w:rsidR="007A6355" w:rsidRDefault="007A6355" w:rsidP="007A6355">
      <w:pPr>
        <w:spacing w:line="480" w:lineRule="auto"/>
        <w:rPr>
          <w:rFonts w:ascii="Times New Roman" w:hAnsi="Times New Roman" w:cs="Times New Roman"/>
          <w:sz w:val="24"/>
          <w:szCs w:val="24"/>
        </w:rPr>
      </w:pPr>
    </w:p>
    <w:p w:rsidR="007A6355" w:rsidRDefault="007A6355" w:rsidP="007A6355">
      <w:pPr>
        <w:spacing w:line="480" w:lineRule="auto"/>
        <w:rPr>
          <w:rFonts w:ascii="Times New Roman" w:hAnsi="Times New Roman" w:cs="Times New Roman"/>
          <w:sz w:val="24"/>
          <w:szCs w:val="24"/>
        </w:rPr>
      </w:pPr>
    </w:p>
    <w:p w:rsidR="007A6355" w:rsidRDefault="007A6355" w:rsidP="007A6355">
      <w:pPr>
        <w:spacing w:line="480" w:lineRule="auto"/>
        <w:rPr>
          <w:rFonts w:ascii="Times New Roman" w:hAnsi="Times New Roman" w:cs="Times New Roman"/>
          <w:sz w:val="24"/>
          <w:szCs w:val="24"/>
        </w:rPr>
      </w:pPr>
    </w:p>
    <w:p w:rsidR="007A6355" w:rsidRDefault="007A6355" w:rsidP="007A6355">
      <w:pPr>
        <w:spacing w:line="480" w:lineRule="auto"/>
        <w:rPr>
          <w:rFonts w:ascii="Times New Roman" w:hAnsi="Times New Roman" w:cs="Times New Roman"/>
          <w:sz w:val="24"/>
          <w:szCs w:val="24"/>
        </w:rPr>
      </w:pPr>
    </w:p>
    <w:p w:rsidR="007A6355" w:rsidRDefault="007A6355" w:rsidP="007A6355">
      <w:pPr>
        <w:spacing w:line="480" w:lineRule="auto"/>
        <w:rPr>
          <w:rFonts w:ascii="Times New Roman" w:hAnsi="Times New Roman" w:cs="Times New Roman"/>
          <w:sz w:val="24"/>
          <w:szCs w:val="24"/>
        </w:rPr>
      </w:pPr>
    </w:p>
    <w:p w:rsidR="007A6355" w:rsidRDefault="007A6355" w:rsidP="00DC7020">
      <w:pPr>
        <w:spacing w:line="480" w:lineRule="auto"/>
        <w:jc w:val="center"/>
        <w:rPr>
          <w:rFonts w:ascii="Times New Roman" w:hAnsi="Times New Roman" w:cs="Times New Roman"/>
          <w:sz w:val="24"/>
          <w:szCs w:val="24"/>
        </w:rPr>
      </w:pPr>
    </w:p>
    <w:p w:rsidR="007A6355" w:rsidRPr="007A6355" w:rsidRDefault="007A6355" w:rsidP="007A6355">
      <w:pPr>
        <w:spacing w:line="480" w:lineRule="auto"/>
        <w:rPr>
          <w:rFonts w:ascii="Times New Roman" w:hAnsi="Times New Roman" w:cs="Times New Roman"/>
          <w:sz w:val="24"/>
          <w:szCs w:val="24"/>
        </w:rPr>
      </w:pPr>
    </w:p>
    <w:p w:rsidR="00DC7020" w:rsidRPr="00DC7020" w:rsidRDefault="00DC7020" w:rsidP="00DC7020">
      <w:pPr>
        <w:spacing w:line="480" w:lineRule="auto"/>
        <w:ind w:firstLine="720"/>
        <w:rPr>
          <w:rFonts w:ascii="Times New Roman" w:hAnsi="Times New Roman" w:cs="Times New Roman"/>
          <w:b/>
          <w:color w:val="1D1D1D"/>
          <w:sz w:val="24"/>
          <w:szCs w:val="24"/>
          <w:shd w:val="clear" w:color="auto" w:fill="FFFFFF"/>
        </w:rPr>
      </w:pPr>
      <w:r w:rsidRPr="00DC7020">
        <w:rPr>
          <w:rFonts w:ascii="Times New Roman" w:hAnsi="Times New Roman" w:cs="Times New Roman"/>
          <w:b/>
          <w:color w:val="1D1D1D"/>
          <w:sz w:val="24"/>
          <w:szCs w:val="24"/>
          <w:shd w:val="clear" w:color="auto" w:fill="FFFFFF"/>
        </w:rPr>
        <w:lastRenderedPageBreak/>
        <w:t>Question 1.</w:t>
      </w:r>
    </w:p>
    <w:p w:rsidR="00DC7020" w:rsidRPr="00DC7020" w:rsidRDefault="00DC7020" w:rsidP="00DC7020">
      <w:pPr>
        <w:spacing w:line="480" w:lineRule="auto"/>
        <w:ind w:firstLine="720"/>
        <w:rPr>
          <w:rFonts w:ascii="Times New Roman" w:hAnsi="Times New Roman" w:cs="Times New Roman"/>
          <w:color w:val="1D1D1D"/>
          <w:sz w:val="24"/>
          <w:szCs w:val="24"/>
          <w:shd w:val="clear" w:color="auto" w:fill="FFFFFF"/>
        </w:rPr>
      </w:pPr>
      <w:r w:rsidRPr="00DC7020">
        <w:rPr>
          <w:rFonts w:ascii="Times New Roman" w:hAnsi="Times New Roman" w:cs="Times New Roman"/>
          <w:color w:val="1D1D1D"/>
          <w:sz w:val="24"/>
          <w:szCs w:val="24"/>
          <w:shd w:val="clear" w:color="auto" w:fill="FFFFFF"/>
        </w:rPr>
        <w:t>The United States of America constitution provides the president, senate and congress different authorities and responsibilities over military action and during peace. Arguably, the constitution has clearly defined the limits of where one's war powers begin and where they end. Despite having variations in levels of power and responsibilities, proper collaboration of the U.S. president and Congress through formal approval by each body provides stronger grounds for action, and hence it strengthens our democracy (Mason &amp; Stephenson, 2015).</w:t>
      </w:r>
    </w:p>
    <w:p w:rsidR="00DC7020" w:rsidRPr="00DC7020" w:rsidRDefault="00DC7020" w:rsidP="00DC7020">
      <w:pPr>
        <w:spacing w:line="480" w:lineRule="auto"/>
        <w:ind w:firstLine="720"/>
        <w:rPr>
          <w:rFonts w:ascii="Times New Roman" w:hAnsi="Times New Roman" w:cs="Times New Roman"/>
          <w:color w:val="1D1D1D"/>
          <w:sz w:val="24"/>
          <w:szCs w:val="24"/>
          <w:shd w:val="clear" w:color="auto" w:fill="FFFFFF"/>
        </w:rPr>
      </w:pPr>
      <w:r w:rsidRPr="00DC7020">
        <w:rPr>
          <w:rFonts w:ascii="Times New Roman" w:hAnsi="Times New Roman" w:cs="Times New Roman"/>
          <w:color w:val="1D1D1D"/>
          <w:sz w:val="24"/>
          <w:szCs w:val="24"/>
          <w:shd w:val="clear" w:color="auto" w:fill="FFFFFF"/>
        </w:rPr>
        <w:t>The U.S. Constitution gives the president powers to wage wars as the state's commander in chief of armed forces. As such, the president is in control of the country's armed forces. During war, he orders all military generals and admirals on how troops will be located, ships to be sent and which weapons to be used. Moreover, the constitution gives the president powers to inspect the States Navy Yard, responsibility to make decisions during war on whether to bomb foreign countries or not. He has the power to call out troops to stop the war at the request of the U.S. legislature. According to the constitution, president has the authority to initiate hostilities without consulting the Congress depending on the direction of war and when it began. In this regard, the president is authorized to repel sudden and unexpected attacks without necessarily involving the Congress (Kende, 2014). The congress has the authority to declare wars by authorizing hostilities at all levels as well as funding them for the operation. In this approach, the congress has authority to major wars but higher uses of power reserved to the president alone.</w:t>
      </w:r>
    </w:p>
    <w:p w:rsidR="00DC7020" w:rsidRPr="00DC7020" w:rsidRDefault="00DC7020" w:rsidP="00DC7020">
      <w:pPr>
        <w:spacing w:line="480" w:lineRule="auto"/>
        <w:ind w:firstLine="720"/>
        <w:rPr>
          <w:rFonts w:ascii="Times New Roman" w:hAnsi="Times New Roman" w:cs="Times New Roman"/>
          <w:color w:val="1D1D1D"/>
          <w:sz w:val="24"/>
          <w:szCs w:val="24"/>
          <w:shd w:val="clear" w:color="auto" w:fill="FFFFFF"/>
        </w:rPr>
      </w:pPr>
      <w:r w:rsidRPr="00DC7020">
        <w:rPr>
          <w:rFonts w:ascii="Times New Roman" w:hAnsi="Times New Roman" w:cs="Times New Roman"/>
          <w:color w:val="1D1D1D"/>
          <w:sz w:val="24"/>
          <w:szCs w:val="24"/>
          <w:shd w:val="clear" w:color="auto" w:fill="FFFFFF"/>
        </w:rPr>
        <w:t xml:space="preserve">The Supreme Court has expounded president's power in various ways. For example, during the World War II cases, the U.S. Supreme Court demonstrated in many important cases that it was unable to practice judicial independence during emergency. In one case involving a president exertion to use military forces to prosecute some Germany saboteurs, the high court </w:t>
      </w:r>
      <w:r w:rsidRPr="00DC7020">
        <w:rPr>
          <w:rFonts w:ascii="Times New Roman" w:hAnsi="Times New Roman" w:cs="Times New Roman"/>
          <w:color w:val="1D1D1D"/>
          <w:sz w:val="24"/>
          <w:szCs w:val="24"/>
          <w:shd w:val="clear" w:color="auto" w:fill="FFFFFF"/>
        </w:rPr>
        <w:lastRenderedPageBreak/>
        <w:t>agreed to hear the case without any prior actions by lower courts. As a result, much pressure was exerted, and the court quickly gave a ruling that favored the presidential power without even offering any judicial reasoning, while promising to underscore that in subsequent decision hence expounding presidential powers.</w:t>
      </w:r>
    </w:p>
    <w:p w:rsidR="00DC7020" w:rsidRPr="00DC7020" w:rsidRDefault="00DC7020" w:rsidP="00DC7020">
      <w:pPr>
        <w:spacing w:line="480" w:lineRule="auto"/>
        <w:ind w:firstLine="720"/>
        <w:rPr>
          <w:rFonts w:ascii="Times New Roman" w:hAnsi="Times New Roman" w:cs="Times New Roman"/>
          <w:color w:val="1D1D1D"/>
          <w:sz w:val="24"/>
          <w:szCs w:val="24"/>
          <w:shd w:val="clear" w:color="auto" w:fill="FFFFFF"/>
        </w:rPr>
      </w:pPr>
      <w:r w:rsidRPr="00DC7020">
        <w:rPr>
          <w:rFonts w:ascii="Times New Roman" w:hAnsi="Times New Roman" w:cs="Times New Roman"/>
          <w:color w:val="1D1D1D"/>
          <w:sz w:val="24"/>
          <w:szCs w:val="24"/>
          <w:shd w:val="clear" w:color="auto" w:fill="FFFFFF"/>
        </w:rPr>
        <w:t>Following the American history, the Supreme Court has evidently tried in addressing scenarios of self-serving betrayers and collaborators who have betrayed their people and their nation as well. In the end, the Supreme Court has been on the front line to investigate such aspects. If found guilty, betrayers have been granted a chance to practice the most appropriate fruits of their betrayal for long though sentence.</w:t>
      </w:r>
    </w:p>
    <w:p w:rsidR="00DC7020" w:rsidRPr="00DC7020" w:rsidRDefault="00DC7020" w:rsidP="00DC7020">
      <w:pPr>
        <w:spacing w:line="480" w:lineRule="auto"/>
        <w:ind w:firstLine="720"/>
        <w:rPr>
          <w:rFonts w:ascii="Times New Roman" w:hAnsi="Times New Roman" w:cs="Times New Roman"/>
          <w:color w:val="1D1D1D"/>
          <w:sz w:val="24"/>
          <w:szCs w:val="24"/>
          <w:shd w:val="clear" w:color="auto" w:fill="FFFFFF"/>
        </w:rPr>
      </w:pPr>
      <w:r w:rsidRPr="00DC7020">
        <w:rPr>
          <w:rFonts w:ascii="Times New Roman" w:hAnsi="Times New Roman" w:cs="Times New Roman"/>
          <w:color w:val="1D1D1D"/>
          <w:sz w:val="24"/>
          <w:szCs w:val="24"/>
          <w:shd w:val="clear" w:color="auto" w:fill="FFFFFF"/>
        </w:rPr>
        <w:t xml:space="preserve">Ex parte Quirin and Hamdi vs. Rumsfeld has a point of comparison. In the civil war case  Ex parte Milligan, American citizen was detained in military prison and put on trial before a military tribunal on charges he helped a confederate martial organization and collaborated to obtain firearms and free confederate sponsors. The suspect was sentenced to death by the military tribunal for violating the laws of war. On the other hand, in Hamdi vs. Rumsfeld, the Supreme Court accused the citizen held that the citizen detained by federal government as an enemy of combatant. In this regard, the court undertook to investigate whether the executive had power to indefinitely detain citizens captured abroad in the midst of war on terror and branded as enemy combatants without hearing.  The finding was that such citizen was entitled to some kind of impartial hearing under the due process clause. </w:t>
      </w:r>
    </w:p>
    <w:p w:rsidR="00DC7020" w:rsidRPr="00DC7020" w:rsidRDefault="00DC7020" w:rsidP="00DC7020">
      <w:pPr>
        <w:spacing w:line="480" w:lineRule="auto"/>
        <w:ind w:firstLine="720"/>
        <w:rPr>
          <w:rFonts w:ascii="Times New Roman" w:hAnsi="Times New Roman" w:cs="Times New Roman"/>
          <w:color w:val="1D1D1D"/>
          <w:sz w:val="24"/>
          <w:szCs w:val="24"/>
          <w:shd w:val="clear" w:color="auto" w:fill="FFFFFF"/>
        </w:rPr>
      </w:pPr>
      <w:r w:rsidRPr="00DC7020">
        <w:rPr>
          <w:rFonts w:ascii="Times New Roman" w:hAnsi="Times New Roman" w:cs="Times New Roman"/>
          <w:color w:val="1D1D1D"/>
          <w:sz w:val="24"/>
          <w:szCs w:val="24"/>
          <w:shd w:val="clear" w:color="auto" w:fill="FFFFFF"/>
        </w:rPr>
        <w:t xml:space="preserve"> In the two cases, the Supreme Court ruled distinctively. For Hamdi vs. Rumsfeld the court was willing to listen and investigate necessary measures for such a case and acted in favor of detainee. In ex parte Quirin, the court unanimously ruled against the detainees, pressing that the president was statutorily and constitutionally right to subject the suspects to a trial before a </w:t>
      </w:r>
      <w:r w:rsidRPr="00DC7020">
        <w:rPr>
          <w:rFonts w:ascii="Times New Roman" w:hAnsi="Times New Roman" w:cs="Times New Roman"/>
          <w:color w:val="1D1D1D"/>
          <w:sz w:val="24"/>
          <w:szCs w:val="24"/>
          <w:shd w:val="clear" w:color="auto" w:fill="FFFFFF"/>
        </w:rPr>
        <w:lastRenderedPageBreak/>
        <w:t>military commission rather thana domestic federal court. In both cases, the Supreme Court applied law and stressed on the distinction between unlawful and lawful combatants. Moreover, the court explained the ultimate significance of capturing and detaining enemies and betrayers during wartime, that is; to prevent the captured individual from continually serving the enemy.</w:t>
      </w:r>
    </w:p>
    <w:p w:rsidR="00DC7020" w:rsidRPr="00DC7020" w:rsidRDefault="00DC7020" w:rsidP="00DC7020">
      <w:pPr>
        <w:spacing w:line="480" w:lineRule="auto"/>
        <w:ind w:firstLine="720"/>
        <w:rPr>
          <w:rFonts w:ascii="Times New Roman" w:hAnsi="Times New Roman" w:cs="Times New Roman"/>
          <w:b/>
          <w:color w:val="1D1D1D"/>
          <w:sz w:val="24"/>
          <w:szCs w:val="24"/>
          <w:shd w:val="clear" w:color="auto" w:fill="FFFFFF"/>
        </w:rPr>
      </w:pPr>
      <w:r w:rsidRPr="00DC7020">
        <w:rPr>
          <w:rFonts w:ascii="Times New Roman" w:hAnsi="Times New Roman" w:cs="Times New Roman"/>
          <w:b/>
          <w:color w:val="1D1D1D"/>
          <w:sz w:val="24"/>
          <w:szCs w:val="24"/>
          <w:shd w:val="clear" w:color="auto" w:fill="FFFFFF"/>
        </w:rPr>
        <w:t>Question 2.</w:t>
      </w:r>
    </w:p>
    <w:p w:rsidR="00DC7020" w:rsidRPr="00DC7020" w:rsidRDefault="00DC7020" w:rsidP="00DC7020">
      <w:pPr>
        <w:spacing w:line="480" w:lineRule="auto"/>
        <w:ind w:firstLine="720"/>
        <w:rPr>
          <w:rFonts w:ascii="Times New Roman" w:hAnsi="Times New Roman" w:cs="Times New Roman"/>
          <w:color w:val="1D1D1D"/>
          <w:sz w:val="24"/>
          <w:szCs w:val="24"/>
          <w:shd w:val="clear" w:color="auto" w:fill="FFFFFF"/>
        </w:rPr>
      </w:pPr>
      <w:r w:rsidRPr="00DC7020">
        <w:rPr>
          <w:rFonts w:ascii="Times New Roman" w:hAnsi="Times New Roman" w:cs="Times New Roman"/>
          <w:color w:val="1D1D1D"/>
          <w:sz w:val="24"/>
          <w:szCs w:val="24"/>
          <w:shd w:val="clear" w:color="auto" w:fill="FFFFFF"/>
        </w:rPr>
        <w:t>Federalism is a tactic in which the government allows two or more entities to share control over the same geographic region.  It is a political, administrative structure where many governments serve and rule a given region and a set of people (Smith, 2014). Where federalism is practiced, sovereignty of the country is constitutionally shared between the federal government and other governmental units such as state government and the local government as well. Federalism is an intrinsic aspect of American jurisprudence because it informs legal consciousness. It forms significant part of the law's language that categorizes individuals, builds relationships and scatters responsibilities. In other words, federalism equips the court with variety of heuristic devices which the justice can distinguish the stipulated boundaries of constitution applicability to the states.</w:t>
      </w:r>
    </w:p>
    <w:p w:rsidR="00DC7020" w:rsidRPr="00DC7020" w:rsidRDefault="00DC7020" w:rsidP="00DC7020">
      <w:pPr>
        <w:spacing w:line="480" w:lineRule="auto"/>
        <w:ind w:firstLine="720"/>
        <w:rPr>
          <w:rFonts w:ascii="Times New Roman" w:hAnsi="Times New Roman" w:cs="Times New Roman"/>
          <w:color w:val="1D1D1D"/>
          <w:sz w:val="24"/>
          <w:szCs w:val="24"/>
          <w:shd w:val="clear" w:color="auto" w:fill="FFFFFF"/>
        </w:rPr>
      </w:pPr>
      <w:r w:rsidRPr="00DC7020">
        <w:rPr>
          <w:rFonts w:ascii="Times New Roman" w:hAnsi="Times New Roman" w:cs="Times New Roman"/>
          <w:color w:val="1D1D1D"/>
          <w:sz w:val="24"/>
          <w:szCs w:val="24"/>
          <w:shd w:val="clear" w:color="auto" w:fill="FFFFFF"/>
        </w:rPr>
        <w:t xml:space="preserve">Dual federalism is an administrative system where powers and responsibilities of the central government and those of the state government are definitely separated. The State government practices control without interruptions for the national government. The cooperative federalism, the boundaries of distinction amid the powers and responsibilities of both central government and that of state government is blurred. In essence, both federal government and the state government have varied spheres, and both are independent in their identified sphere while in cooperative federalism, such spheres do not exist, governments work in tandem. Also, the national government and the state government share responsibilities and powers horizontally in a </w:t>
      </w:r>
      <w:r w:rsidRPr="00DC7020">
        <w:rPr>
          <w:rFonts w:ascii="Times New Roman" w:hAnsi="Times New Roman" w:cs="Times New Roman"/>
          <w:color w:val="1D1D1D"/>
          <w:sz w:val="24"/>
          <w:szCs w:val="24"/>
          <w:shd w:val="clear" w:color="auto" w:fill="FFFFFF"/>
        </w:rPr>
        <w:lastRenderedPageBreak/>
        <w:t xml:space="preserve">dual structure while in cooperative federalism, responsibilities and powers are structured vertically; cooperation is a two-way traffic. </w:t>
      </w:r>
    </w:p>
    <w:p w:rsidR="00DC7020" w:rsidRPr="00DC7020" w:rsidRDefault="00DC7020" w:rsidP="00DC7020">
      <w:pPr>
        <w:spacing w:line="480" w:lineRule="auto"/>
        <w:ind w:firstLine="720"/>
        <w:rPr>
          <w:rFonts w:ascii="Times New Roman" w:hAnsi="Times New Roman" w:cs="Times New Roman"/>
          <w:color w:val="1D1D1D"/>
          <w:sz w:val="24"/>
          <w:szCs w:val="24"/>
          <w:shd w:val="clear" w:color="auto" w:fill="FFFFFF"/>
        </w:rPr>
      </w:pPr>
      <w:r w:rsidRPr="00DC7020">
        <w:rPr>
          <w:rFonts w:ascii="Times New Roman" w:hAnsi="Times New Roman" w:cs="Times New Roman"/>
          <w:color w:val="1D1D1D"/>
          <w:sz w:val="24"/>
          <w:szCs w:val="24"/>
          <w:shd w:val="clear" w:color="auto" w:fill="FFFFFF"/>
        </w:rPr>
        <w:t>One of the court cases in favor of both federalism is the U.S. v. E.C.Knight (1895), the court used new tactics to investigate whether the Congress could have the right to pass law under the commerce clause. The results claimed that the congress could regulate interstate commerce if the legislation has a direct impact on interstate commerce. This defined power and responsibilities between the two governments hence the court acted in favor of both federalism approaches. Moreover, Wickard v. Filburn, which, similar Gonzales v. Raich, upraised the question of whether indigenous use of a product could have an increasing influence on national markets. The Court distinguished that in the Controlled Substances Act, Congress pursued to control all features of the interstate market for skillful substances, including local activities.</w:t>
      </w:r>
    </w:p>
    <w:p w:rsidR="00DC7020" w:rsidRPr="00DC7020" w:rsidRDefault="00DC7020" w:rsidP="00DC7020">
      <w:pPr>
        <w:spacing w:line="480" w:lineRule="auto"/>
        <w:ind w:firstLine="720"/>
        <w:rPr>
          <w:rFonts w:ascii="Times New Roman" w:hAnsi="Times New Roman" w:cs="Times New Roman"/>
          <w:color w:val="1D1D1D"/>
          <w:sz w:val="24"/>
          <w:szCs w:val="24"/>
          <w:shd w:val="clear" w:color="auto" w:fill="FFFFFF"/>
        </w:rPr>
      </w:pPr>
      <w:r w:rsidRPr="00DC7020">
        <w:rPr>
          <w:rFonts w:ascii="Times New Roman" w:hAnsi="Times New Roman" w:cs="Times New Roman"/>
          <w:color w:val="1D1D1D"/>
          <w:sz w:val="24"/>
          <w:szCs w:val="24"/>
          <w:shd w:val="clear" w:color="auto" w:fill="FFFFFF"/>
        </w:rPr>
        <w:t>Federalism affects civil rights in that some powers of some powers are shifted from the state to federal government to enhance uniformity in civil rights for all America citizens; with maintained federal state of governance. Federalism relates to the Civil Rights Acts of 1964 in that it takes away some authorities from the state government and gives them to the federal government.</w:t>
      </w:r>
    </w:p>
    <w:p w:rsidR="00DC7020" w:rsidRPr="00DC7020" w:rsidRDefault="00DC7020" w:rsidP="00DC7020">
      <w:pPr>
        <w:spacing w:line="480" w:lineRule="auto"/>
        <w:ind w:firstLine="720"/>
        <w:rPr>
          <w:rFonts w:ascii="Times New Roman" w:hAnsi="Times New Roman" w:cs="Times New Roman"/>
          <w:color w:val="1D1D1D"/>
          <w:sz w:val="24"/>
          <w:szCs w:val="24"/>
          <w:shd w:val="clear" w:color="auto" w:fill="FFFFFF"/>
        </w:rPr>
      </w:pPr>
      <w:r w:rsidRPr="00DC7020">
        <w:rPr>
          <w:rFonts w:ascii="Times New Roman" w:hAnsi="Times New Roman" w:cs="Times New Roman"/>
          <w:color w:val="1D1D1D"/>
          <w:sz w:val="24"/>
          <w:szCs w:val="24"/>
          <w:shd w:val="clear" w:color="auto" w:fill="FFFFFF"/>
        </w:rPr>
        <w:t>In the civil right cases, theSupreme Court consolidated into a single ruling of five legal cases due to their similarity. The court claimed the Civil Rights Acts of 1875 as unconstitutional, and hence it spurred laws that codified the previously informal, private and local exercise of racial discrimination in the U.S.</w:t>
      </w:r>
      <w:r>
        <w:rPr>
          <w:rFonts w:ascii="Times New Roman" w:hAnsi="Times New Roman" w:cs="Times New Roman"/>
          <w:color w:val="1D1D1D"/>
          <w:sz w:val="24"/>
          <w:szCs w:val="24"/>
          <w:shd w:val="clear" w:color="auto" w:fill="FFFFFF"/>
        </w:rPr>
        <w:t xml:space="preserve"> </w:t>
      </w:r>
      <w:r w:rsidRPr="00DC7020">
        <w:rPr>
          <w:rFonts w:ascii="Times New Roman" w:hAnsi="Times New Roman" w:cs="Times New Roman"/>
          <w:color w:val="1D1D1D"/>
          <w:sz w:val="24"/>
          <w:szCs w:val="24"/>
          <w:shd w:val="clear" w:color="auto" w:fill="FFFFFF"/>
        </w:rPr>
        <w:t xml:space="preserve">The court ruling trucked down the most critical provision in the Civil Rights Act by illegalizing racial segregation in all public places. Moreover, it deterred the Congress from remedying racial discrimination in effort to legalize the idea of "separate but equal."  Similar to the Civil Rights cases is the Jones vs. Alfred H Mayer case. In essence, the </w:t>
      </w:r>
      <w:r w:rsidRPr="00DC7020">
        <w:rPr>
          <w:rFonts w:ascii="Times New Roman" w:hAnsi="Times New Roman" w:cs="Times New Roman"/>
          <w:color w:val="1D1D1D"/>
          <w:sz w:val="24"/>
          <w:szCs w:val="24"/>
          <w:shd w:val="clear" w:color="auto" w:fill="FFFFFF"/>
        </w:rPr>
        <w:lastRenderedPageBreak/>
        <w:t>Jonesvs. Alfred H Mayer, petitioners were alleging that respondents had denied selling them a home for a single reason that the petitioner is a Negro. In this regard, petitioners filed a case in the district court demanding for injunctive and other oppressions. Both cases show that racial discrimination was highly practiced in every State. Both rulings were staged to help state government eradicate discrimination entirely.  In contrast, Jones vs. Alfred H Mayer sought to provide understanding of property ownership rights and what were the badges and incidents of slavery, unlike the civil cases which only focused on racial segregation.</w:t>
      </w:r>
    </w:p>
    <w:p w:rsidR="00DC7020" w:rsidRPr="00DC7020" w:rsidRDefault="00DC7020" w:rsidP="00DC7020">
      <w:pPr>
        <w:spacing w:line="480" w:lineRule="auto"/>
        <w:ind w:firstLine="720"/>
        <w:rPr>
          <w:rFonts w:ascii="Times New Roman" w:hAnsi="Times New Roman" w:cs="Times New Roman"/>
          <w:b/>
          <w:color w:val="1D1D1D"/>
          <w:sz w:val="24"/>
          <w:szCs w:val="24"/>
          <w:shd w:val="clear" w:color="auto" w:fill="FFFFFF"/>
        </w:rPr>
      </w:pPr>
      <w:r w:rsidRPr="00DC7020">
        <w:rPr>
          <w:rFonts w:ascii="Times New Roman" w:hAnsi="Times New Roman" w:cs="Times New Roman"/>
          <w:b/>
          <w:color w:val="1D1D1D"/>
          <w:sz w:val="24"/>
          <w:szCs w:val="24"/>
          <w:shd w:val="clear" w:color="auto" w:fill="FFFFFF"/>
        </w:rPr>
        <w:t>Question 3.</w:t>
      </w:r>
    </w:p>
    <w:p w:rsidR="00DC7020" w:rsidRPr="00DC7020" w:rsidRDefault="00DC7020" w:rsidP="00DC7020">
      <w:pPr>
        <w:spacing w:line="480" w:lineRule="auto"/>
        <w:ind w:firstLine="720"/>
        <w:rPr>
          <w:rFonts w:ascii="Times New Roman" w:hAnsi="Times New Roman" w:cs="Times New Roman"/>
          <w:color w:val="1D1D1D"/>
          <w:sz w:val="24"/>
          <w:szCs w:val="24"/>
          <w:shd w:val="clear" w:color="auto" w:fill="FFFFFF"/>
        </w:rPr>
      </w:pPr>
      <w:r w:rsidRPr="00DC7020">
        <w:rPr>
          <w:rFonts w:ascii="Times New Roman" w:hAnsi="Times New Roman" w:cs="Times New Roman"/>
          <w:color w:val="1D1D1D"/>
          <w:sz w:val="24"/>
          <w:szCs w:val="24"/>
          <w:shd w:val="clear" w:color="auto" w:fill="FFFFFF"/>
        </w:rPr>
        <w:t>Commerce is the event of buying and selling commodities in large scale. It is the exchange of goods and services in kind or for money usually in large-scale hence transportation is necessary. According to chief justice Marshall Opinions, commerce is the intercourse amid nations, parts of nations, and all country's branches and is controlled by prescribing rules and procedures for carrying on the intercourse.</w:t>
      </w:r>
    </w:p>
    <w:p w:rsidR="00DC7020" w:rsidRPr="00DC7020" w:rsidRDefault="00DC7020" w:rsidP="00DC7020">
      <w:pPr>
        <w:spacing w:line="480" w:lineRule="auto"/>
        <w:ind w:firstLine="720"/>
        <w:rPr>
          <w:rFonts w:ascii="Times New Roman" w:hAnsi="Times New Roman" w:cs="Times New Roman"/>
          <w:color w:val="1D1D1D"/>
          <w:sz w:val="24"/>
          <w:szCs w:val="24"/>
          <w:shd w:val="clear" w:color="auto" w:fill="FFFFFF"/>
        </w:rPr>
      </w:pPr>
      <w:r w:rsidRPr="00DC7020">
        <w:rPr>
          <w:rFonts w:ascii="Times New Roman" w:hAnsi="Times New Roman" w:cs="Times New Roman"/>
          <w:color w:val="1D1D1D"/>
          <w:sz w:val="24"/>
          <w:szCs w:val="24"/>
          <w:shd w:val="clear" w:color="auto" w:fill="FFFFFF"/>
        </w:rPr>
        <w:t xml:space="preserve">During dual federalism, commerce was interpreted by the Supreme Court through the commerce clause. Before the civil war, the Supreme Court perceived commerce as the interstate interaction. It, therefore, embraced the overlapping federal and state control policies to interstate commerce. In this regard, court only authorized the Congress to control interstate commerce and not within states commerce. For example, in the U.S. v. Lopez case; the Supreme Court pressed that federal government had no responsibility to ban guns from school since it had nothing to do with commerce. </w:t>
      </w:r>
    </w:p>
    <w:p w:rsidR="00DC7020" w:rsidRPr="00DC7020" w:rsidRDefault="00DC7020" w:rsidP="00DC7020">
      <w:pPr>
        <w:spacing w:line="480" w:lineRule="auto"/>
        <w:ind w:firstLine="720"/>
        <w:rPr>
          <w:rFonts w:ascii="Times New Roman" w:hAnsi="Times New Roman" w:cs="Times New Roman"/>
          <w:color w:val="1D1D1D"/>
          <w:sz w:val="24"/>
          <w:szCs w:val="24"/>
          <w:shd w:val="clear" w:color="auto" w:fill="FFFFFF"/>
        </w:rPr>
      </w:pPr>
      <w:r w:rsidRPr="00DC7020">
        <w:rPr>
          <w:rFonts w:ascii="Times New Roman" w:hAnsi="Times New Roman" w:cs="Times New Roman"/>
          <w:color w:val="1D1D1D"/>
          <w:sz w:val="24"/>
          <w:szCs w:val="24"/>
          <w:shd w:val="clear" w:color="auto" w:fill="FFFFFF"/>
        </w:rPr>
        <w:t xml:space="preserve">In cooperative federalism, the Supreme Court sanctioned the federal government greater power over commerce (Bullock et al., 2017). As such, both national government and states </w:t>
      </w:r>
      <w:r w:rsidRPr="00DC7020">
        <w:rPr>
          <w:rFonts w:ascii="Times New Roman" w:hAnsi="Times New Roman" w:cs="Times New Roman"/>
          <w:color w:val="1D1D1D"/>
          <w:sz w:val="24"/>
          <w:szCs w:val="24"/>
          <w:shd w:val="clear" w:color="auto" w:fill="FFFFFF"/>
        </w:rPr>
        <w:lastRenderedPageBreak/>
        <w:t>government had significantly increased interaction and they exchanged commodities to sort their common problems. Commerce was literally perceived as trafficking of commodities. For instance, In Missouri v. Holland, the Supreme Court upheld that protection of the state quasi-sovereign right to regulate commerce is a significant judiciary basis (Chemerinsky, 2016).</w:t>
      </w:r>
    </w:p>
    <w:p w:rsidR="00DC7020" w:rsidRPr="00DC7020" w:rsidRDefault="00DC7020" w:rsidP="00DC7020">
      <w:pPr>
        <w:spacing w:line="480" w:lineRule="auto"/>
        <w:ind w:firstLine="720"/>
        <w:rPr>
          <w:rFonts w:ascii="Times New Roman" w:hAnsi="Times New Roman" w:cs="Times New Roman"/>
          <w:color w:val="1D1D1D"/>
          <w:sz w:val="24"/>
          <w:szCs w:val="24"/>
          <w:shd w:val="clear" w:color="auto" w:fill="FFFFFF"/>
        </w:rPr>
      </w:pPr>
      <w:r w:rsidRPr="00DC7020">
        <w:rPr>
          <w:rFonts w:ascii="Times New Roman" w:hAnsi="Times New Roman" w:cs="Times New Roman"/>
          <w:color w:val="1D1D1D"/>
          <w:sz w:val="24"/>
          <w:szCs w:val="24"/>
          <w:shd w:val="clear" w:color="auto" w:fill="FFFFFF"/>
        </w:rPr>
        <w:t>Rehnquist argued that the U.S. Constitution does not give power to the Congress overall commerce. Rather, the government as entitled to regulate commerce with foreign countries, and amongst this should include several states as well as the Indian communities (Chemerinsky, 2016) that the government is to be acknowledged by all hence, one enumerated power. He argued that there was need to admit that powers of the government were limited in commerce and that these authorities are not to be transcended</w:t>
      </w:r>
    </w:p>
    <w:p w:rsidR="00DC7020" w:rsidRPr="00DC7020" w:rsidRDefault="00DC7020" w:rsidP="00DC7020">
      <w:pPr>
        <w:spacing w:line="480" w:lineRule="auto"/>
        <w:ind w:firstLine="720"/>
        <w:rPr>
          <w:rFonts w:ascii="Times New Roman" w:hAnsi="Times New Roman" w:cs="Times New Roman"/>
          <w:b/>
          <w:color w:val="1D1D1D"/>
          <w:sz w:val="24"/>
          <w:szCs w:val="24"/>
          <w:shd w:val="clear" w:color="auto" w:fill="FFFFFF"/>
        </w:rPr>
      </w:pPr>
      <w:r w:rsidRPr="00DC7020">
        <w:rPr>
          <w:rFonts w:ascii="Times New Roman" w:hAnsi="Times New Roman" w:cs="Times New Roman"/>
          <w:b/>
          <w:color w:val="1D1D1D"/>
          <w:sz w:val="24"/>
          <w:szCs w:val="24"/>
          <w:shd w:val="clear" w:color="auto" w:fill="FFFFFF"/>
        </w:rPr>
        <w:t>Question 4.</w:t>
      </w:r>
    </w:p>
    <w:p w:rsidR="00DC7020" w:rsidRPr="00DC7020" w:rsidRDefault="00DC7020" w:rsidP="00DC7020">
      <w:pPr>
        <w:spacing w:line="480" w:lineRule="auto"/>
        <w:ind w:firstLine="720"/>
        <w:rPr>
          <w:rFonts w:ascii="Times New Roman" w:hAnsi="Times New Roman" w:cs="Times New Roman"/>
          <w:color w:val="1D1D1D"/>
          <w:sz w:val="24"/>
          <w:szCs w:val="24"/>
          <w:shd w:val="clear" w:color="auto" w:fill="FFFFFF"/>
        </w:rPr>
      </w:pPr>
      <w:r w:rsidRPr="00DC7020">
        <w:rPr>
          <w:rFonts w:ascii="Times New Roman" w:hAnsi="Times New Roman" w:cs="Times New Roman"/>
          <w:color w:val="1D1D1D"/>
          <w:sz w:val="24"/>
          <w:szCs w:val="24"/>
          <w:shd w:val="clear" w:color="auto" w:fill="FFFFFF"/>
        </w:rPr>
        <w:t>Originalism refers to the means of interpreting the existing constitution meanings as unchanging from its enactment and can accommodate changes only under the procedures outlined in Article Five. Arguably, originalism has taken key positions in some political conservatives in the U.S.  Originalism helps in preserving the main constitution information and its original meaning following author's intentions. In this regard, originalism and constitution influence our understanding of federalism in the fact that it preserves the structure government. It helps in telling the powers and responsibilities of every government and stipulates necessary measures that need to be taken in addressing certain problems. Since originalism is a theory of interpretation, it provides clerical understanding of the unchanging constitution which evidently sheds light on understanding dual federalism and cooperative federalism as well.</w:t>
      </w:r>
    </w:p>
    <w:p w:rsidR="00DC7020" w:rsidRPr="00DC7020" w:rsidRDefault="00DC7020" w:rsidP="00DC7020">
      <w:pPr>
        <w:spacing w:line="480" w:lineRule="auto"/>
        <w:ind w:firstLine="720"/>
        <w:rPr>
          <w:rFonts w:ascii="Times New Roman" w:hAnsi="Times New Roman" w:cs="Times New Roman"/>
          <w:color w:val="1D1D1D"/>
          <w:sz w:val="24"/>
          <w:szCs w:val="24"/>
          <w:shd w:val="clear" w:color="auto" w:fill="FFFFFF"/>
        </w:rPr>
      </w:pPr>
      <w:r w:rsidRPr="00DC7020">
        <w:rPr>
          <w:rFonts w:ascii="Times New Roman" w:hAnsi="Times New Roman" w:cs="Times New Roman"/>
          <w:color w:val="1D1D1D"/>
          <w:sz w:val="24"/>
          <w:szCs w:val="24"/>
          <w:shd w:val="clear" w:color="auto" w:fill="FFFFFF"/>
        </w:rPr>
        <w:lastRenderedPageBreak/>
        <w:t>Originalism challenges decision of a case through original intent. Through original intent analysis, we can distinguish that the information presented in article III of the American constitution was to give the congressional authority to allocate as well as appellate jurisdiction, not to remove some jurisdictions pertaining the constitutional inquiries for all courts (Coan, 2016). This surpasses that the court decision was very wrong in Ex Parte McCardle.</w:t>
      </w:r>
    </w:p>
    <w:p w:rsidR="00DC7020" w:rsidRPr="00DC7020" w:rsidRDefault="00DC7020" w:rsidP="00DC7020">
      <w:pPr>
        <w:spacing w:line="480" w:lineRule="auto"/>
        <w:ind w:firstLine="720"/>
        <w:rPr>
          <w:rFonts w:ascii="Times New Roman" w:hAnsi="Times New Roman" w:cs="Times New Roman"/>
          <w:color w:val="1D1D1D"/>
          <w:sz w:val="24"/>
          <w:szCs w:val="24"/>
          <w:shd w:val="clear" w:color="auto" w:fill="FFFFFF"/>
        </w:rPr>
      </w:pPr>
      <w:r w:rsidRPr="00DC7020">
        <w:rPr>
          <w:rFonts w:ascii="Times New Roman" w:hAnsi="Times New Roman" w:cs="Times New Roman"/>
          <w:color w:val="1D1D1D"/>
          <w:sz w:val="24"/>
          <w:szCs w:val="24"/>
          <w:shd w:val="clear" w:color="auto" w:fill="FFFFFF"/>
        </w:rPr>
        <w:t>Also, originalism brings about problem of internationalism when certain theories are applied to the constitution. For example, the abortion rights in the Roe v. Wade decision. In this cases, justices interpreted the constitution as a political aspect hence the variation in meaning on what needs to be preserved.</w:t>
      </w:r>
    </w:p>
    <w:p w:rsidR="00DC7020" w:rsidRPr="00DC7020" w:rsidRDefault="00DC7020" w:rsidP="00DC7020">
      <w:pPr>
        <w:spacing w:line="480" w:lineRule="auto"/>
        <w:ind w:firstLine="720"/>
        <w:rPr>
          <w:rFonts w:ascii="Times New Roman" w:hAnsi="Times New Roman" w:cs="Times New Roman"/>
          <w:color w:val="1D1D1D"/>
          <w:sz w:val="24"/>
          <w:szCs w:val="24"/>
          <w:shd w:val="clear" w:color="auto" w:fill="FFFFFF"/>
        </w:rPr>
      </w:pPr>
      <w:r w:rsidRPr="00DC7020">
        <w:rPr>
          <w:rFonts w:ascii="Times New Roman" w:hAnsi="Times New Roman" w:cs="Times New Roman"/>
          <w:color w:val="1D1D1D"/>
          <w:sz w:val="24"/>
          <w:szCs w:val="24"/>
          <w:shd w:val="clear" w:color="auto" w:fill="FFFFFF"/>
        </w:rPr>
        <w:t>The living constitution challenges decision of a case. For instance, in Marbury v. Madison, the chief justice asserted the Supreme Court's had authority to disobey unconstitutional legislations. This is a direct provocation of its sworn duty to uphold the constitution hence the oath could not be fulfilled accordingly (Frost &amp; Whittington, 2017).  Another example is in McCulloch v. Maryland which justice John Marshall noted that constitution tried to copy every aspect of its own application. Constitution limits dealing with controversies and cases as well. As such, it gives the court limited authority by only deciding specific actions without advisory opinions.</w:t>
      </w:r>
    </w:p>
    <w:p w:rsidR="005B4420" w:rsidRPr="007A6355" w:rsidRDefault="00DC7020" w:rsidP="00DC7020">
      <w:pPr>
        <w:spacing w:line="480" w:lineRule="auto"/>
        <w:ind w:firstLine="720"/>
        <w:rPr>
          <w:rFonts w:ascii="Times New Roman" w:hAnsi="Times New Roman" w:cs="Times New Roman"/>
          <w:color w:val="1D1D1D"/>
          <w:sz w:val="24"/>
          <w:szCs w:val="24"/>
          <w:shd w:val="clear" w:color="auto" w:fill="FFFFFF"/>
        </w:rPr>
      </w:pPr>
      <w:r w:rsidRPr="00DC7020">
        <w:rPr>
          <w:rFonts w:ascii="Times New Roman" w:hAnsi="Times New Roman" w:cs="Times New Roman"/>
          <w:color w:val="1D1D1D"/>
          <w:sz w:val="24"/>
          <w:szCs w:val="24"/>
          <w:shd w:val="clear" w:color="auto" w:fill="FFFFFF"/>
        </w:rPr>
        <w:t>According to my understanding, originalism is totally conservative as it intends to preserve the unchanged form of constitution. It focuses on the challenge of internationalism and original intent in every scenario. On the other hand, the living constitution is continually progressive. It seeks to address problems in a more decent manner while e</w:t>
      </w:r>
      <w:r>
        <w:rPr>
          <w:rFonts w:ascii="Times New Roman" w:hAnsi="Times New Roman" w:cs="Times New Roman"/>
          <w:color w:val="1D1D1D"/>
          <w:sz w:val="24"/>
          <w:szCs w:val="24"/>
          <w:shd w:val="clear" w:color="auto" w:fill="FFFFFF"/>
        </w:rPr>
        <w:t>nsuring equality as per the law.</w:t>
      </w:r>
    </w:p>
    <w:p w:rsidR="005B4420" w:rsidRPr="007A6355" w:rsidRDefault="005B4420" w:rsidP="007A6355">
      <w:pPr>
        <w:spacing w:line="480" w:lineRule="auto"/>
        <w:rPr>
          <w:rFonts w:ascii="Times New Roman" w:hAnsi="Times New Roman" w:cs="Times New Roman"/>
          <w:color w:val="1D1D1D"/>
          <w:sz w:val="24"/>
          <w:szCs w:val="24"/>
          <w:shd w:val="clear" w:color="auto" w:fill="FFFFFF"/>
        </w:rPr>
      </w:pPr>
    </w:p>
    <w:p w:rsidR="007A6355" w:rsidRPr="007A6355" w:rsidRDefault="005B4420" w:rsidP="007A6355">
      <w:pPr>
        <w:spacing w:line="480" w:lineRule="auto"/>
        <w:jc w:val="center"/>
        <w:rPr>
          <w:rFonts w:ascii="Times New Roman" w:hAnsi="Times New Roman" w:cs="Times New Roman"/>
          <w:color w:val="1D1D1D"/>
          <w:sz w:val="24"/>
          <w:szCs w:val="24"/>
          <w:shd w:val="clear" w:color="auto" w:fill="FFFFFF"/>
        </w:rPr>
      </w:pPr>
      <w:r w:rsidRPr="007A6355">
        <w:rPr>
          <w:rFonts w:ascii="Times New Roman" w:hAnsi="Times New Roman" w:cs="Times New Roman"/>
          <w:color w:val="1D1D1D"/>
          <w:sz w:val="24"/>
          <w:szCs w:val="24"/>
          <w:shd w:val="clear" w:color="auto" w:fill="FFFFFF"/>
        </w:rPr>
        <w:t>References.</w:t>
      </w:r>
    </w:p>
    <w:p w:rsidR="007A6355" w:rsidRPr="007A6355" w:rsidRDefault="007A6355" w:rsidP="00DC7020">
      <w:pPr>
        <w:spacing w:line="480" w:lineRule="auto"/>
        <w:ind w:left="720" w:hanging="720"/>
        <w:rPr>
          <w:rFonts w:ascii="Times New Roman" w:hAnsi="Times New Roman" w:cs="Times New Roman"/>
          <w:color w:val="222222"/>
          <w:sz w:val="24"/>
          <w:szCs w:val="24"/>
          <w:shd w:val="clear" w:color="auto" w:fill="FFFFFF"/>
        </w:rPr>
      </w:pPr>
      <w:r w:rsidRPr="007A6355">
        <w:rPr>
          <w:rFonts w:ascii="Times New Roman" w:hAnsi="Times New Roman" w:cs="Times New Roman"/>
          <w:color w:val="222222"/>
          <w:sz w:val="24"/>
          <w:szCs w:val="24"/>
          <w:shd w:val="clear" w:color="auto" w:fill="FFFFFF"/>
        </w:rPr>
        <w:t>Bullock, C. S., Lamb, C. M., &amp; Wilk, E. M. (2017). Cooperative Federalism and Fair Housing Enforcement. </w:t>
      </w:r>
      <w:r w:rsidRPr="007A6355">
        <w:rPr>
          <w:rFonts w:ascii="Times New Roman" w:hAnsi="Times New Roman" w:cs="Times New Roman"/>
          <w:i/>
          <w:iCs/>
          <w:color w:val="222222"/>
          <w:sz w:val="24"/>
          <w:szCs w:val="24"/>
          <w:shd w:val="clear" w:color="auto" w:fill="FFFFFF"/>
        </w:rPr>
        <w:t>Social Science Quarterly</w:t>
      </w:r>
      <w:r w:rsidRPr="007A6355">
        <w:rPr>
          <w:rFonts w:ascii="Times New Roman" w:hAnsi="Times New Roman" w:cs="Times New Roman"/>
          <w:color w:val="222222"/>
          <w:sz w:val="24"/>
          <w:szCs w:val="24"/>
          <w:shd w:val="clear" w:color="auto" w:fill="FFFFFF"/>
        </w:rPr>
        <w:t>.</w:t>
      </w:r>
    </w:p>
    <w:p w:rsidR="007A6355" w:rsidRPr="007A6355" w:rsidRDefault="007A6355" w:rsidP="00DC7020">
      <w:pPr>
        <w:spacing w:line="480" w:lineRule="auto"/>
        <w:ind w:left="720" w:hanging="720"/>
        <w:rPr>
          <w:rFonts w:ascii="Times New Roman" w:hAnsi="Times New Roman" w:cs="Times New Roman"/>
          <w:color w:val="222222"/>
          <w:sz w:val="24"/>
          <w:szCs w:val="24"/>
          <w:shd w:val="clear" w:color="auto" w:fill="FFFFFF"/>
        </w:rPr>
      </w:pPr>
      <w:r w:rsidRPr="007A6355">
        <w:rPr>
          <w:rFonts w:ascii="Times New Roman" w:hAnsi="Times New Roman" w:cs="Times New Roman"/>
          <w:color w:val="222222"/>
          <w:sz w:val="24"/>
          <w:szCs w:val="24"/>
          <w:shd w:val="clear" w:color="auto" w:fill="FFFFFF"/>
        </w:rPr>
        <w:t>Chemerinsky, E. (2016). </w:t>
      </w:r>
      <w:r w:rsidRPr="007A6355">
        <w:rPr>
          <w:rFonts w:ascii="Times New Roman" w:hAnsi="Times New Roman" w:cs="Times New Roman"/>
          <w:i/>
          <w:iCs/>
          <w:color w:val="222222"/>
          <w:sz w:val="24"/>
          <w:szCs w:val="24"/>
          <w:shd w:val="clear" w:color="auto" w:fill="FFFFFF"/>
        </w:rPr>
        <w:t>Constitutional law</w:t>
      </w:r>
      <w:r w:rsidRPr="007A6355">
        <w:rPr>
          <w:rFonts w:ascii="Times New Roman" w:hAnsi="Times New Roman" w:cs="Times New Roman"/>
          <w:color w:val="222222"/>
          <w:sz w:val="24"/>
          <w:szCs w:val="24"/>
          <w:shd w:val="clear" w:color="auto" w:fill="FFFFFF"/>
        </w:rPr>
        <w:t>. Wolters Kluwer Law &amp; Business.</w:t>
      </w:r>
    </w:p>
    <w:p w:rsidR="007A6355" w:rsidRPr="007A6355" w:rsidRDefault="007A6355" w:rsidP="00DC7020">
      <w:pPr>
        <w:spacing w:line="480" w:lineRule="auto"/>
        <w:ind w:left="720" w:hanging="720"/>
        <w:rPr>
          <w:rFonts w:ascii="Times New Roman" w:hAnsi="Times New Roman" w:cs="Times New Roman"/>
          <w:color w:val="222222"/>
          <w:sz w:val="24"/>
          <w:szCs w:val="24"/>
          <w:shd w:val="clear" w:color="auto" w:fill="FFFFFF"/>
        </w:rPr>
      </w:pPr>
      <w:r w:rsidRPr="007A6355">
        <w:rPr>
          <w:rFonts w:ascii="Times New Roman" w:hAnsi="Times New Roman" w:cs="Times New Roman"/>
          <w:color w:val="222222"/>
          <w:sz w:val="24"/>
          <w:szCs w:val="24"/>
          <w:shd w:val="clear" w:color="auto" w:fill="FFFFFF"/>
        </w:rPr>
        <w:t>Coan, A. (2016). Living Constitutional Theory. </w:t>
      </w:r>
      <w:r w:rsidRPr="007A6355">
        <w:rPr>
          <w:rFonts w:ascii="Times New Roman" w:hAnsi="Times New Roman" w:cs="Times New Roman"/>
          <w:i/>
          <w:iCs/>
          <w:color w:val="222222"/>
          <w:sz w:val="24"/>
          <w:szCs w:val="24"/>
          <w:shd w:val="clear" w:color="auto" w:fill="FFFFFF"/>
        </w:rPr>
        <w:t>Browser Download This Paper</w:t>
      </w:r>
      <w:r w:rsidRPr="007A6355">
        <w:rPr>
          <w:rFonts w:ascii="Times New Roman" w:hAnsi="Times New Roman" w:cs="Times New Roman"/>
          <w:color w:val="222222"/>
          <w:sz w:val="24"/>
          <w:szCs w:val="24"/>
          <w:shd w:val="clear" w:color="auto" w:fill="FFFFFF"/>
        </w:rPr>
        <w:t>.</w:t>
      </w:r>
    </w:p>
    <w:p w:rsidR="007A6355" w:rsidRPr="007A6355" w:rsidRDefault="007A6355" w:rsidP="00DC7020">
      <w:pPr>
        <w:spacing w:line="480" w:lineRule="auto"/>
        <w:ind w:left="720" w:hanging="720"/>
        <w:rPr>
          <w:rFonts w:ascii="Times New Roman" w:hAnsi="Times New Roman" w:cs="Times New Roman"/>
          <w:color w:val="222222"/>
          <w:sz w:val="24"/>
          <w:szCs w:val="24"/>
          <w:shd w:val="clear" w:color="auto" w:fill="FFFFFF"/>
        </w:rPr>
      </w:pPr>
      <w:r w:rsidRPr="007A6355">
        <w:rPr>
          <w:rFonts w:ascii="Times New Roman" w:hAnsi="Times New Roman" w:cs="Times New Roman"/>
          <w:color w:val="222222"/>
          <w:sz w:val="24"/>
          <w:szCs w:val="24"/>
          <w:shd w:val="clear" w:color="auto" w:fill="FFFFFF"/>
        </w:rPr>
        <w:t>Frost, D., &amp; Whittington, K. E. (2017). A Man for All Seasons: Historical Memory and John Marshall. </w:t>
      </w:r>
      <w:r w:rsidRPr="007A6355">
        <w:rPr>
          <w:rFonts w:ascii="Times New Roman" w:hAnsi="Times New Roman" w:cs="Times New Roman"/>
          <w:i/>
          <w:iCs/>
          <w:color w:val="222222"/>
          <w:sz w:val="24"/>
          <w:szCs w:val="24"/>
          <w:shd w:val="clear" w:color="auto" w:fill="FFFFFF"/>
        </w:rPr>
        <w:t>Polity</w:t>
      </w:r>
      <w:r w:rsidRPr="007A6355">
        <w:rPr>
          <w:rFonts w:ascii="Times New Roman" w:hAnsi="Times New Roman" w:cs="Times New Roman"/>
          <w:color w:val="222222"/>
          <w:sz w:val="24"/>
          <w:szCs w:val="24"/>
          <w:shd w:val="clear" w:color="auto" w:fill="FFFFFF"/>
        </w:rPr>
        <w:t>, </w:t>
      </w:r>
      <w:r w:rsidRPr="007A6355">
        <w:rPr>
          <w:rFonts w:ascii="Times New Roman" w:hAnsi="Times New Roman" w:cs="Times New Roman"/>
          <w:i/>
          <w:iCs/>
          <w:color w:val="222222"/>
          <w:sz w:val="24"/>
          <w:szCs w:val="24"/>
          <w:shd w:val="clear" w:color="auto" w:fill="FFFFFF"/>
        </w:rPr>
        <w:t>49</w:t>
      </w:r>
      <w:r w:rsidRPr="007A6355">
        <w:rPr>
          <w:rFonts w:ascii="Times New Roman" w:hAnsi="Times New Roman" w:cs="Times New Roman"/>
          <w:color w:val="222222"/>
          <w:sz w:val="24"/>
          <w:szCs w:val="24"/>
          <w:shd w:val="clear" w:color="auto" w:fill="FFFFFF"/>
        </w:rPr>
        <w:t>(4), 575-602.</w:t>
      </w:r>
    </w:p>
    <w:p w:rsidR="007A6355" w:rsidRPr="007A6355" w:rsidRDefault="007A6355" w:rsidP="00DC7020">
      <w:pPr>
        <w:spacing w:line="480" w:lineRule="auto"/>
        <w:ind w:left="720" w:hanging="720"/>
        <w:rPr>
          <w:rFonts w:ascii="Times New Roman" w:hAnsi="Times New Roman" w:cs="Times New Roman"/>
          <w:color w:val="222222"/>
          <w:sz w:val="24"/>
          <w:szCs w:val="24"/>
          <w:shd w:val="clear" w:color="auto" w:fill="FFFFFF"/>
        </w:rPr>
      </w:pPr>
      <w:r w:rsidRPr="007A6355">
        <w:rPr>
          <w:rFonts w:ascii="Times New Roman" w:hAnsi="Times New Roman" w:cs="Times New Roman"/>
          <w:color w:val="222222"/>
          <w:sz w:val="24"/>
          <w:szCs w:val="24"/>
          <w:shd w:val="clear" w:color="auto" w:fill="FFFFFF"/>
        </w:rPr>
        <w:t>Kende, M. (2014). Justice Clarence Thomas's Korematsu Problem.</w:t>
      </w:r>
    </w:p>
    <w:p w:rsidR="007A6355" w:rsidRPr="007A6355" w:rsidRDefault="007A6355" w:rsidP="00DC7020">
      <w:pPr>
        <w:spacing w:line="480" w:lineRule="auto"/>
        <w:ind w:left="720" w:hanging="720"/>
        <w:rPr>
          <w:rFonts w:ascii="Times New Roman" w:hAnsi="Times New Roman" w:cs="Times New Roman"/>
          <w:color w:val="222222"/>
          <w:sz w:val="24"/>
          <w:szCs w:val="24"/>
          <w:shd w:val="clear" w:color="auto" w:fill="FFFFFF"/>
        </w:rPr>
      </w:pPr>
      <w:r w:rsidRPr="007A6355">
        <w:rPr>
          <w:rFonts w:ascii="Times New Roman" w:hAnsi="Times New Roman" w:cs="Times New Roman"/>
          <w:color w:val="222222"/>
          <w:sz w:val="24"/>
          <w:szCs w:val="24"/>
          <w:shd w:val="clear" w:color="auto" w:fill="FFFFFF"/>
        </w:rPr>
        <w:t>Mason, A. T., &amp; Stephenson, G. (2015). </w:t>
      </w:r>
      <w:r w:rsidRPr="007A6355">
        <w:rPr>
          <w:rFonts w:ascii="Times New Roman" w:hAnsi="Times New Roman" w:cs="Times New Roman"/>
          <w:i/>
          <w:iCs/>
          <w:color w:val="222222"/>
          <w:sz w:val="24"/>
          <w:szCs w:val="24"/>
          <w:shd w:val="clear" w:color="auto" w:fill="FFFFFF"/>
        </w:rPr>
        <w:t>American constitutional law: introductory essays and selected cases</w:t>
      </w:r>
      <w:r w:rsidRPr="007A6355">
        <w:rPr>
          <w:rFonts w:ascii="Times New Roman" w:hAnsi="Times New Roman" w:cs="Times New Roman"/>
          <w:color w:val="222222"/>
          <w:sz w:val="24"/>
          <w:szCs w:val="24"/>
          <w:shd w:val="clear" w:color="auto" w:fill="FFFFFF"/>
        </w:rPr>
        <w:t>. Routledge.</w:t>
      </w:r>
    </w:p>
    <w:p w:rsidR="007A6355" w:rsidRPr="007A6355" w:rsidRDefault="007A6355" w:rsidP="00DC7020">
      <w:pPr>
        <w:spacing w:line="480" w:lineRule="auto"/>
        <w:ind w:left="720" w:hanging="720"/>
        <w:rPr>
          <w:rFonts w:ascii="Times New Roman" w:hAnsi="Times New Roman" w:cs="Times New Roman"/>
          <w:color w:val="222222"/>
          <w:sz w:val="24"/>
          <w:szCs w:val="24"/>
          <w:shd w:val="clear" w:color="auto" w:fill="FFFFFF"/>
        </w:rPr>
      </w:pPr>
      <w:r w:rsidRPr="007A6355">
        <w:rPr>
          <w:rFonts w:ascii="Times New Roman" w:hAnsi="Times New Roman" w:cs="Times New Roman"/>
          <w:color w:val="222222"/>
          <w:sz w:val="24"/>
          <w:szCs w:val="24"/>
          <w:shd w:val="clear" w:color="auto" w:fill="FFFFFF"/>
        </w:rPr>
        <w:t>Smith, G. (2014). </w:t>
      </w:r>
      <w:r w:rsidRPr="007A6355">
        <w:rPr>
          <w:rFonts w:ascii="Times New Roman" w:hAnsi="Times New Roman" w:cs="Times New Roman"/>
          <w:i/>
          <w:iCs/>
          <w:color w:val="222222"/>
          <w:sz w:val="24"/>
          <w:szCs w:val="24"/>
          <w:shd w:val="clear" w:color="auto" w:fill="FFFFFF"/>
        </w:rPr>
        <w:t>Federalism: the multiethnic challenge</w:t>
      </w:r>
      <w:r w:rsidRPr="007A6355">
        <w:rPr>
          <w:rFonts w:ascii="Times New Roman" w:hAnsi="Times New Roman" w:cs="Times New Roman"/>
          <w:color w:val="222222"/>
          <w:sz w:val="24"/>
          <w:szCs w:val="24"/>
          <w:shd w:val="clear" w:color="auto" w:fill="FFFFFF"/>
        </w:rPr>
        <w:t>. Routledge.</w:t>
      </w:r>
    </w:p>
    <w:sectPr w:rsidR="007A6355" w:rsidRPr="007A6355" w:rsidSect="007A635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76D1" w:rsidRDefault="009376D1" w:rsidP="007A6355">
      <w:pPr>
        <w:spacing w:after="0" w:line="240" w:lineRule="auto"/>
      </w:pPr>
      <w:r>
        <w:separator/>
      </w:r>
    </w:p>
  </w:endnote>
  <w:endnote w:type="continuationSeparator" w:id="1">
    <w:p w:rsidR="009376D1" w:rsidRDefault="009376D1" w:rsidP="007A63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76D1" w:rsidRDefault="009376D1" w:rsidP="007A6355">
      <w:pPr>
        <w:spacing w:after="0" w:line="240" w:lineRule="auto"/>
      </w:pPr>
      <w:r>
        <w:separator/>
      </w:r>
    </w:p>
  </w:footnote>
  <w:footnote w:type="continuationSeparator" w:id="1">
    <w:p w:rsidR="009376D1" w:rsidRDefault="009376D1" w:rsidP="007A63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355" w:rsidRPr="007A6355" w:rsidRDefault="00DE2F90">
    <w:pPr>
      <w:pStyle w:val="Header"/>
      <w:rPr>
        <w:rFonts w:ascii="Times New Roman" w:hAnsi="Times New Roman" w:cs="Times New Roman"/>
        <w:sz w:val="24"/>
        <w:szCs w:val="24"/>
      </w:rPr>
    </w:pPr>
    <w:r>
      <w:rPr>
        <w:rFonts w:ascii="Times New Roman" w:hAnsi="Times New Roman" w:cs="Times New Roman"/>
        <w:sz w:val="24"/>
        <w:szCs w:val="24"/>
      </w:rPr>
      <w:t xml:space="preserve">CONSTITUTIONAL </w:t>
    </w:r>
    <w:r w:rsidR="007A6355" w:rsidRPr="007A6355">
      <w:rPr>
        <w:rFonts w:ascii="Times New Roman" w:hAnsi="Times New Roman" w:cs="Times New Roman"/>
        <w:sz w:val="24"/>
        <w:szCs w:val="24"/>
      </w:rPr>
      <w:t>LAW.</w:t>
    </w:r>
    <w:r w:rsidR="007A6355" w:rsidRPr="007A6355">
      <w:rPr>
        <w:rFonts w:ascii="Times New Roman" w:hAnsi="Times New Roman" w:cs="Times New Roman"/>
        <w:sz w:val="24"/>
        <w:szCs w:val="24"/>
      </w:rPr>
      <w:tab/>
    </w:r>
    <w:r w:rsidR="007A6355" w:rsidRPr="007A6355">
      <w:rPr>
        <w:rFonts w:ascii="Times New Roman" w:hAnsi="Times New Roman" w:cs="Times New Roman"/>
        <w:sz w:val="24"/>
        <w:szCs w:val="24"/>
      </w:rPr>
      <w:tab/>
    </w:r>
    <w:sdt>
      <w:sdtPr>
        <w:rPr>
          <w:rFonts w:ascii="Times New Roman" w:hAnsi="Times New Roman" w:cs="Times New Roman"/>
          <w:sz w:val="24"/>
          <w:szCs w:val="24"/>
        </w:rPr>
        <w:id w:val="1224954934"/>
        <w:docPartObj>
          <w:docPartGallery w:val="Page Numbers (Top of Page)"/>
          <w:docPartUnique/>
        </w:docPartObj>
      </w:sdtPr>
      <w:sdtEndPr>
        <w:rPr>
          <w:noProof/>
        </w:rPr>
      </w:sdtEndPr>
      <w:sdtContent>
        <w:r w:rsidR="00653EFE" w:rsidRPr="007A6355">
          <w:rPr>
            <w:rFonts w:ascii="Times New Roman" w:hAnsi="Times New Roman" w:cs="Times New Roman"/>
            <w:sz w:val="24"/>
            <w:szCs w:val="24"/>
          </w:rPr>
          <w:fldChar w:fldCharType="begin"/>
        </w:r>
        <w:r w:rsidR="007A6355" w:rsidRPr="007A6355">
          <w:rPr>
            <w:rFonts w:ascii="Times New Roman" w:hAnsi="Times New Roman" w:cs="Times New Roman"/>
            <w:sz w:val="24"/>
            <w:szCs w:val="24"/>
          </w:rPr>
          <w:instrText xml:space="preserve"> PAGE   \* MERGEFORMAT </w:instrText>
        </w:r>
        <w:r w:rsidR="00653EFE" w:rsidRPr="007A6355">
          <w:rPr>
            <w:rFonts w:ascii="Times New Roman" w:hAnsi="Times New Roman" w:cs="Times New Roman"/>
            <w:sz w:val="24"/>
            <w:szCs w:val="24"/>
          </w:rPr>
          <w:fldChar w:fldCharType="separate"/>
        </w:r>
        <w:r>
          <w:rPr>
            <w:rFonts w:ascii="Times New Roman" w:hAnsi="Times New Roman" w:cs="Times New Roman"/>
            <w:noProof/>
            <w:sz w:val="24"/>
            <w:szCs w:val="24"/>
          </w:rPr>
          <w:t>5</w:t>
        </w:r>
        <w:r w:rsidR="00653EFE" w:rsidRPr="007A6355">
          <w:rPr>
            <w:rFonts w:ascii="Times New Roman" w:hAnsi="Times New Roman" w:cs="Times New Roman"/>
            <w:noProof/>
            <w:sz w:val="24"/>
            <w:szCs w:val="24"/>
          </w:rPr>
          <w:fldChar w:fldCharType="end"/>
        </w:r>
      </w:sdtContent>
    </w:sdt>
  </w:p>
  <w:p w:rsidR="007A6355" w:rsidRPr="007A6355" w:rsidRDefault="007A635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355" w:rsidRPr="007A6355" w:rsidRDefault="00DE2F90">
    <w:pPr>
      <w:pStyle w:val="Header"/>
      <w:rPr>
        <w:rFonts w:ascii="Times New Roman" w:hAnsi="Times New Roman" w:cs="Times New Roman"/>
        <w:sz w:val="24"/>
        <w:szCs w:val="24"/>
      </w:rPr>
    </w:pPr>
    <w:r>
      <w:rPr>
        <w:rFonts w:ascii="Times New Roman" w:hAnsi="Times New Roman" w:cs="Times New Roman"/>
        <w:sz w:val="24"/>
        <w:szCs w:val="24"/>
      </w:rPr>
      <w:t xml:space="preserve">Running Head: CONSTITUTIONAL </w:t>
    </w:r>
    <w:r w:rsidR="007A6355" w:rsidRPr="007A6355">
      <w:rPr>
        <w:rFonts w:ascii="Times New Roman" w:hAnsi="Times New Roman" w:cs="Times New Roman"/>
        <w:sz w:val="24"/>
        <w:szCs w:val="24"/>
      </w:rPr>
      <w:t>LAW.</w:t>
    </w:r>
    <w:r w:rsidR="007A6355" w:rsidRPr="007A6355">
      <w:rPr>
        <w:rFonts w:ascii="Times New Roman" w:hAnsi="Times New Roman" w:cs="Times New Roman"/>
        <w:sz w:val="24"/>
        <w:szCs w:val="24"/>
      </w:rPr>
      <w:tab/>
    </w:r>
    <w:r w:rsidR="007A6355" w:rsidRPr="007A6355">
      <w:rPr>
        <w:rFonts w:ascii="Times New Roman" w:hAnsi="Times New Roman" w:cs="Times New Roman"/>
        <w:sz w:val="24"/>
        <w:szCs w:val="24"/>
      </w:rPr>
      <w:tab/>
    </w:r>
    <w:sdt>
      <w:sdtPr>
        <w:rPr>
          <w:rFonts w:ascii="Times New Roman" w:hAnsi="Times New Roman" w:cs="Times New Roman"/>
          <w:sz w:val="24"/>
          <w:szCs w:val="24"/>
        </w:rPr>
        <w:id w:val="464857496"/>
        <w:docPartObj>
          <w:docPartGallery w:val="Page Numbers (Top of Page)"/>
          <w:docPartUnique/>
        </w:docPartObj>
      </w:sdtPr>
      <w:sdtEndPr>
        <w:rPr>
          <w:noProof/>
        </w:rPr>
      </w:sdtEndPr>
      <w:sdtContent>
        <w:r w:rsidR="00653EFE" w:rsidRPr="007A6355">
          <w:rPr>
            <w:rFonts w:ascii="Times New Roman" w:hAnsi="Times New Roman" w:cs="Times New Roman"/>
            <w:sz w:val="24"/>
            <w:szCs w:val="24"/>
          </w:rPr>
          <w:fldChar w:fldCharType="begin"/>
        </w:r>
        <w:r w:rsidR="007A6355" w:rsidRPr="007A6355">
          <w:rPr>
            <w:rFonts w:ascii="Times New Roman" w:hAnsi="Times New Roman" w:cs="Times New Roman"/>
            <w:sz w:val="24"/>
            <w:szCs w:val="24"/>
          </w:rPr>
          <w:instrText xml:space="preserve"> PAGE   \* MERGEFORMAT </w:instrText>
        </w:r>
        <w:r w:rsidR="00653EFE" w:rsidRPr="007A6355">
          <w:rPr>
            <w:rFonts w:ascii="Times New Roman" w:hAnsi="Times New Roman" w:cs="Times New Roman"/>
            <w:sz w:val="24"/>
            <w:szCs w:val="24"/>
          </w:rPr>
          <w:fldChar w:fldCharType="separate"/>
        </w:r>
        <w:r>
          <w:rPr>
            <w:rFonts w:ascii="Times New Roman" w:hAnsi="Times New Roman" w:cs="Times New Roman"/>
            <w:noProof/>
            <w:sz w:val="24"/>
            <w:szCs w:val="24"/>
          </w:rPr>
          <w:t>1</w:t>
        </w:r>
        <w:r w:rsidR="00653EFE" w:rsidRPr="007A6355">
          <w:rPr>
            <w:rFonts w:ascii="Times New Roman" w:hAnsi="Times New Roman" w:cs="Times New Roman"/>
            <w:noProof/>
            <w:sz w:val="24"/>
            <w:szCs w:val="24"/>
          </w:rPr>
          <w:fldChar w:fldCharType="end"/>
        </w:r>
      </w:sdtContent>
    </w:sdt>
  </w:p>
  <w:p w:rsidR="007A6355" w:rsidRPr="007A6355" w:rsidRDefault="007A635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C4D0B"/>
    <w:rsid w:val="00005EBB"/>
    <w:rsid w:val="000723E0"/>
    <w:rsid w:val="000772F6"/>
    <w:rsid w:val="000D7953"/>
    <w:rsid w:val="001C4D0B"/>
    <w:rsid w:val="00243145"/>
    <w:rsid w:val="00292DAF"/>
    <w:rsid w:val="002D4603"/>
    <w:rsid w:val="00420FBC"/>
    <w:rsid w:val="00423037"/>
    <w:rsid w:val="0042390B"/>
    <w:rsid w:val="0043075C"/>
    <w:rsid w:val="00471D83"/>
    <w:rsid w:val="00481F7C"/>
    <w:rsid w:val="004C3326"/>
    <w:rsid w:val="004C5713"/>
    <w:rsid w:val="005308B4"/>
    <w:rsid w:val="005920AC"/>
    <w:rsid w:val="005A604A"/>
    <w:rsid w:val="005B4420"/>
    <w:rsid w:val="005D2A77"/>
    <w:rsid w:val="005D3E10"/>
    <w:rsid w:val="00653EFE"/>
    <w:rsid w:val="006F1DDD"/>
    <w:rsid w:val="00773540"/>
    <w:rsid w:val="007831FA"/>
    <w:rsid w:val="007A6355"/>
    <w:rsid w:val="007B7EED"/>
    <w:rsid w:val="008818C3"/>
    <w:rsid w:val="00896599"/>
    <w:rsid w:val="008C0F18"/>
    <w:rsid w:val="008D3423"/>
    <w:rsid w:val="009376D1"/>
    <w:rsid w:val="009A2D2A"/>
    <w:rsid w:val="009E0E11"/>
    <w:rsid w:val="00A01FB7"/>
    <w:rsid w:val="00A35B3F"/>
    <w:rsid w:val="00A457EE"/>
    <w:rsid w:val="00A91477"/>
    <w:rsid w:val="00AC3798"/>
    <w:rsid w:val="00B2665A"/>
    <w:rsid w:val="00B8611E"/>
    <w:rsid w:val="00BC6DD7"/>
    <w:rsid w:val="00D43CE7"/>
    <w:rsid w:val="00D92182"/>
    <w:rsid w:val="00DC7020"/>
    <w:rsid w:val="00DD2705"/>
    <w:rsid w:val="00DE2F90"/>
    <w:rsid w:val="00E9250C"/>
    <w:rsid w:val="00F46BAC"/>
    <w:rsid w:val="00F60A78"/>
    <w:rsid w:val="00F758F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E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B4420"/>
    <w:rPr>
      <w:i/>
      <w:iCs/>
    </w:rPr>
  </w:style>
  <w:style w:type="character" w:styleId="Hyperlink">
    <w:name w:val="Hyperlink"/>
    <w:basedOn w:val="DefaultParagraphFont"/>
    <w:uiPriority w:val="99"/>
    <w:semiHidden/>
    <w:unhideWhenUsed/>
    <w:rsid w:val="005B4420"/>
    <w:rPr>
      <w:color w:val="0000FF"/>
      <w:u w:val="single"/>
    </w:rPr>
  </w:style>
  <w:style w:type="paragraph" w:styleId="Header">
    <w:name w:val="header"/>
    <w:basedOn w:val="Normal"/>
    <w:link w:val="HeaderChar"/>
    <w:uiPriority w:val="99"/>
    <w:unhideWhenUsed/>
    <w:rsid w:val="007A63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6355"/>
  </w:style>
  <w:style w:type="paragraph" w:styleId="Footer">
    <w:name w:val="footer"/>
    <w:basedOn w:val="Normal"/>
    <w:link w:val="FooterChar"/>
    <w:uiPriority w:val="99"/>
    <w:unhideWhenUsed/>
    <w:rsid w:val="007A63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635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2133</Words>
  <Characters>12164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2017-12-08T02:20:00Z</dcterms:created>
  <dcterms:modified xsi:type="dcterms:W3CDTF">2017-12-08T02:20:00Z</dcterms:modified>
</cp:coreProperties>
</file>